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</w:t>
      </w:r>
      <w:proofErr w:type="spellStart"/>
      <w:r w:rsidRPr="00234084">
        <w:rPr>
          <w:rFonts w:ascii="Proxima Nova ExCn Rg" w:eastAsiaTheme="minorHAnsi" w:hAnsi="Proxima Nova ExCn Rg" w:cstheme="minorBidi"/>
          <w:sz w:val="28"/>
          <w:szCs w:val="28"/>
        </w:rPr>
        <w:t>Ростех</w:t>
      </w:r>
      <w:proofErr w:type="spellEnd"/>
      <w:r w:rsidRPr="00234084">
        <w:rPr>
          <w:rFonts w:ascii="Proxima Nova ExCn Rg" w:eastAsiaTheme="minorHAnsi" w:hAnsi="Proxima Nova ExCn Rg" w:cstheme="minorBidi"/>
          <w:sz w:val="28"/>
          <w:szCs w:val="28"/>
        </w:rPr>
        <w:t>»</w:t>
      </w:r>
    </w:p>
    <w:p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стр. 31</w:t>
      </w:r>
      <w:r w:rsidRPr="0037226D">
        <w:rPr>
          <w:rFonts w:ascii="Proxima Nova ExCn Rg" w:hAnsi="Proxima Nova ExCn Rg"/>
          <w:i/>
          <w:sz w:val="24"/>
          <w:szCs w:val="24"/>
        </w:rPr>
        <w:t>00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</w:t>
      </w:r>
      <w:r w:rsidRPr="001C1F68">
        <w:rPr>
          <w:rFonts w:ascii="Proxima Nova ExCn Rg" w:hAnsi="Proxima Nova ExCn Rg"/>
          <w:sz w:val="28"/>
          <w:szCs w:val="28"/>
        </w:rPr>
        <w:lastRenderedPageBreak/>
        <w:t>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на последнюю отчетную дату 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выданных Заказчику-бенефициару гарантий не превышает 20 %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офиса (отделение, филиал) </w:t>
      </w:r>
      <w:r w:rsidR="00651E6B">
        <w:rPr>
          <w:rFonts w:ascii="Proxima Nova ExCn Rg" w:hAnsi="Proxima Nova ExCn Rg"/>
          <w:sz w:val="28"/>
          <w:szCs w:val="28"/>
        </w:rPr>
        <w:t>в одном с</w:t>
      </w:r>
      <w:r w:rsidRPr="001C1F68">
        <w:rPr>
          <w:rFonts w:ascii="Proxima Nova ExCn Rg" w:hAnsi="Proxima Nova ExCn Rg"/>
          <w:sz w:val="28"/>
          <w:szCs w:val="28"/>
        </w:rPr>
        <w:t xml:space="preserve"> бенефициар</w:t>
      </w:r>
      <w:r w:rsidR="00651E6B">
        <w:rPr>
          <w:rFonts w:ascii="Proxima Nova ExCn Rg" w:hAnsi="Proxima Nova ExCn Rg"/>
          <w:sz w:val="28"/>
          <w:szCs w:val="28"/>
        </w:rPr>
        <w:t>ом субъекте Российской Федерации или в г.Москве</w:t>
      </w:r>
      <w:r>
        <w:rPr>
          <w:rFonts w:ascii="Proxima Nova ExCn Rg" w:hAnsi="Proxima Nova ExCn Rg"/>
          <w:sz w:val="28"/>
          <w:szCs w:val="28"/>
        </w:rPr>
        <w:t>.</w:t>
      </w:r>
      <w:bookmarkStart w:id="0" w:name="_GoBack"/>
      <w:bookmarkEnd w:id="0"/>
    </w:p>
    <w:p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:rsidR="00C84524" w:rsidRPr="00BD3740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внешнеэкономической деятельности (Внешэкономбанк).</w:t>
      </w:r>
    </w:p>
    <w:p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Величина собственного капитала на последнюю отчетную дату 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– на уровне не ниже «B-»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и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не ниже «B3» по </w:t>
      </w:r>
      <w:r w:rsidRPr="001C1F68">
        <w:rPr>
          <w:rFonts w:ascii="Proxima Nova ExCn Rg" w:hAnsi="Proxima Nova ExCn Rg"/>
          <w:sz w:val="28"/>
          <w:szCs w:val="28"/>
        </w:rPr>
        <w:lastRenderedPageBreak/>
        <w:t xml:space="preserve">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>. Указанные рейтинги должны быть действительными и не могут 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8" w:history="1">
        <w:proofErr w:type="gram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  <w:proofErr w:type="gramEnd"/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proofErr w:type="spell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proofErr w:type="spellEnd"/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либо указанные сайты с соответствующим расширением доменного имени в государстве, резидентом которого является банк) 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должен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162CBD" w:rsidRDefault="00C84524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sectPr w:rsidR="00C84524" w:rsidRPr="00162CBD" w:rsidSect="00162CBD">
      <w:footerReference w:type="default" r:id="rId21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F14D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35F93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1E6B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12BE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14D01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standardandpoors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br.ru/credit/transparent.asp" TargetMode="External"/><Relationship Id="rId17" Type="http://schemas.openxmlformats.org/officeDocument/2006/relationships/hyperlink" Target="http://www.cb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fitchrating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moody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5D21F-6075-4B0B-B80C-6EDF2286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5F7B709A</Template>
  <TotalTime>5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6261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8</cp:revision>
  <cp:lastPrinted>2016-06-02T10:22:00Z</cp:lastPrinted>
  <dcterms:created xsi:type="dcterms:W3CDTF">2016-10-25T09:11:00Z</dcterms:created>
  <dcterms:modified xsi:type="dcterms:W3CDTF">2017-03-10T08:22:00Z</dcterms:modified>
</cp:coreProperties>
</file>